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7A5E" w14:textId="77777777" w:rsidR="00EF3CC6" w:rsidRPr="00EF3CC6" w:rsidRDefault="00EF3CC6" w:rsidP="00EF3CC6">
      <w:pPr>
        <w:widowControl/>
        <w:autoSpaceDE/>
        <w:autoSpaceDN/>
        <w:rPr>
          <w:rFonts w:ascii="Open Sans" w:eastAsia="Times New Roman" w:hAnsi="Open Sans" w:cs="Open Sans"/>
          <w:b/>
          <w:bCs/>
          <w:color w:val="222222"/>
          <w:sz w:val="21"/>
          <w:szCs w:val="21"/>
        </w:rPr>
      </w:pPr>
      <w:bookmarkStart w:id="0" w:name="_GoBack"/>
      <w:bookmarkEnd w:id="0"/>
      <w:r w:rsidRPr="00EF3CC6">
        <w:rPr>
          <w:rFonts w:ascii="Open Sans" w:eastAsia="Times New Roman" w:hAnsi="Open Sans" w:cs="Open Sans"/>
          <w:b/>
          <w:bCs/>
          <w:color w:val="222222"/>
          <w:sz w:val="21"/>
          <w:szCs w:val="21"/>
        </w:rPr>
        <w:t>Description</w:t>
      </w:r>
    </w:p>
    <w:p w14:paraId="682C4E80"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Compensation: $110,000 – $125,000 plus excellent benefits including generous employer contributions to medical, dental and vision premiums, and participation in the Oregon PERS retirement system.</w:t>
      </w:r>
    </w:p>
    <w:p w14:paraId="06CC62FD" w14:textId="77777777" w:rsidR="00EF3CC6" w:rsidRPr="00EF3CC6" w:rsidRDefault="00EF3CC6" w:rsidP="00EF3CC6">
      <w:pPr>
        <w:widowControl/>
        <w:autoSpaceDE/>
        <w:autoSpaceDN/>
        <w:rPr>
          <w:rFonts w:ascii="Open Sans" w:eastAsia="Times New Roman" w:hAnsi="Open Sans" w:cs="Open Sans"/>
          <w:color w:val="222222"/>
          <w:sz w:val="21"/>
          <w:szCs w:val="21"/>
        </w:rPr>
      </w:pPr>
    </w:p>
    <w:p w14:paraId="69FE3942"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We offer an opportunity for…</w:t>
      </w:r>
    </w:p>
    <w:p w14:paraId="58E77F67" w14:textId="453AE8AA"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 xml:space="preserve">A collaborative, equity-minded leader to serve as Vice President of Administrative Services (VPAS). The VPAS </w:t>
      </w:r>
      <w:r w:rsidR="0012288D">
        <w:rPr>
          <w:rFonts w:ascii="Open Sans" w:eastAsia="Times New Roman" w:hAnsi="Open Sans" w:cs="Open Sans"/>
          <w:color w:val="222222"/>
          <w:sz w:val="21"/>
          <w:szCs w:val="21"/>
        </w:rPr>
        <w:t xml:space="preserve">serves as the college’s Chief Financial Officer (CFO), and </w:t>
      </w:r>
      <w:r w:rsidRPr="00EF3CC6">
        <w:rPr>
          <w:rFonts w:ascii="Open Sans" w:eastAsia="Times New Roman" w:hAnsi="Open Sans" w:cs="Open Sans"/>
          <w:color w:val="222222"/>
          <w:sz w:val="21"/>
          <w:szCs w:val="21"/>
        </w:rPr>
        <w:t>is responsible for creating, assessing, and continuously improving the policies, processes, and practices necessary to: facilitate equitable student learning and success; deliver excellent service; and accomplish the work of the administrative services division. The administrative services division includes finance, budgeting, purchasing, information technology systems, facilities and grounds, and auxiliary services, including the bookstore and food services. </w:t>
      </w:r>
    </w:p>
    <w:p w14:paraId="7CBD63BE" w14:textId="77777777" w:rsidR="00EF3CC6" w:rsidRPr="00EF3CC6" w:rsidRDefault="00EF3CC6" w:rsidP="00EF3CC6">
      <w:pPr>
        <w:widowControl/>
        <w:autoSpaceDE/>
        <w:autoSpaceDN/>
        <w:rPr>
          <w:rFonts w:ascii="Open Sans" w:eastAsia="Times New Roman" w:hAnsi="Open Sans" w:cs="Open Sans"/>
          <w:color w:val="222222"/>
          <w:sz w:val="21"/>
          <w:szCs w:val="21"/>
        </w:rPr>
      </w:pPr>
    </w:p>
    <w:p w14:paraId="08A87852"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Who we are…</w:t>
      </w:r>
    </w:p>
    <w:p w14:paraId="421CA4DA" w14:textId="6ADA1CFD"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Columbia Gorge Community College (CGCC) is a comprehensive community college dedicated to promoting an academic and social environment that serves the evolving needs of the vibrant and diverse communities across its district and beyond. The College aims to foster an inclusive and equitable climate where employees and students from a variety of backgrounds, cultures, and personal experiences are welcomed and can thrive. Candidates from diverse and underrepresented backgrounds are encouraged to apply.</w:t>
      </w:r>
    </w:p>
    <w:p w14:paraId="5FED0879" w14:textId="77777777" w:rsidR="00EF3CC6" w:rsidRPr="00EF3CC6" w:rsidRDefault="00EF3CC6" w:rsidP="00EF3CC6">
      <w:pPr>
        <w:widowControl/>
        <w:autoSpaceDE/>
        <w:autoSpaceDN/>
        <w:rPr>
          <w:rFonts w:ascii="Open Sans" w:eastAsia="Times New Roman" w:hAnsi="Open Sans" w:cs="Open Sans"/>
          <w:color w:val="222222"/>
          <w:sz w:val="21"/>
          <w:szCs w:val="21"/>
        </w:rPr>
      </w:pPr>
    </w:p>
    <w:p w14:paraId="236AFC86" w14:textId="77777777" w:rsidR="00EF3CC6" w:rsidRPr="00EF3CC6" w:rsidRDefault="00EF3CC6" w:rsidP="00EF3CC6">
      <w:pPr>
        <w:widowControl/>
        <w:autoSpaceDE/>
        <w:autoSpaceDN/>
        <w:ind w:left="720"/>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Mission:</w:t>
      </w:r>
      <w:r w:rsidRPr="00EF3CC6">
        <w:rPr>
          <w:rFonts w:ascii="Open Sans" w:eastAsia="Times New Roman" w:hAnsi="Open Sans" w:cs="Open Sans"/>
          <w:color w:val="222222"/>
          <w:sz w:val="21"/>
          <w:szCs w:val="21"/>
        </w:rPr>
        <w:t> CGCC prioritizes equitable access to education, empowers all students through learning, and drives inclusive prosperity throughout our community. </w:t>
      </w:r>
    </w:p>
    <w:p w14:paraId="5A66701A" w14:textId="77777777" w:rsidR="00EF3CC6" w:rsidRPr="00EF3CC6" w:rsidRDefault="00EF3CC6" w:rsidP="00EF3CC6">
      <w:pPr>
        <w:widowControl/>
        <w:autoSpaceDE/>
        <w:autoSpaceDN/>
        <w:ind w:left="720"/>
        <w:rPr>
          <w:rFonts w:ascii="Open Sans" w:eastAsia="Times New Roman" w:hAnsi="Open Sans" w:cs="Open Sans"/>
          <w:color w:val="222222"/>
          <w:sz w:val="21"/>
          <w:szCs w:val="21"/>
        </w:rPr>
      </w:pPr>
    </w:p>
    <w:p w14:paraId="26E783F7" w14:textId="77777777" w:rsidR="00EF3CC6" w:rsidRPr="00EF3CC6" w:rsidRDefault="00EF3CC6" w:rsidP="00EF3CC6">
      <w:pPr>
        <w:widowControl/>
        <w:autoSpaceDE/>
        <w:autoSpaceDN/>
        <w:ind w:left="720"/>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Vision: </w:t>
      </w:r>
      <w:r w:rsidRPr="00EF3CC6">
        <w:rPr>
          <w:rFonts w:ascii="Open Sans" w:eastAsia="Times New Roman" w:hAnsi="Open Sans" w:cs="Open Sans"/>
          <w:color w:val="222222"/>
          <w:sz w:val="21"/>
          <w:szCs w:val="21"/>
        </w:rPr>
        <w:t>As an institution of higher education, CGCC innovates and excels, champions equity and inclusion, and nurtures belonging among our students, employees, and the community.</w:t>
      </w:r>
    </w:p>
    <w:p w14:paraId="1ABE7180" w14:textId="77777777" w:rsidR="00EF3CC6" w:rsidRPr="00EF3CC6" w:rsidRDefault="00EF3CC6" w:rsidP="00EF3CC6">
      <w:pPr>
        <w:widowControl/>
        <w:autoSpaceDE/>
        <w:autoSpaceDN/>
        <w:ind w:left="720"/>
        <w:rPr>
          <w:rFonts w:ascii="Open Sans" w:eastAsia="Times New Roman" w:hAnsi="Open Sans" w:cs="Open Sans"/>
          <w:color w:val="222222"/>
          <w:sz w:val="21"/>
          <w:szCs w:val="21"/>
        </w:rPr>
      </w:pPr>
    </w:p>
    <w:p w14:paraId="1714FC04" w14:textId="77777777" w:rsidR="00EF3CC6" w:rsidRPr="00EF3CC6" w:rsidRDefault="00EF3CC6" w:rsidP="00EF3CC6">
      <w:pPr>
        <w:widowControl/>
        <w:autoSpaceDE/>
        <w:autoSpaceDN/>
        <w:ind w:left="720"/>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Priorities:</w:t>
      </w:r>
    </w:p>
    <w:p w14:paraId="1B14E7FE" w14:textId="77777777" w:rsidR="00EF3CC6" w:rsidRPr="00EF3CC6" w:rsidRDefault="00EF3CC6" w:rsidP="00EF3CC6">
      <w:pPr>
        <w:widowControl/>
        <w:numPr>
          <w:ilvl w:val="0"/>
          <w:numId w:val="2"/>
        </w:numPr>
        <w:tabs>
          <w:tab w:val="clear" w:pos="720"/>
          <w:tab w:val="num" w:pos="1440"/>
        </w:tabs>
        <w:autoSpaceDE/>
        <w:autoSpaceDN/>
        <w:spacing w:before="100" w:beforeAutospacing="1" w:after="100" w:afterAutospacing="1"/>
        <w:ind w:left="1440"/>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Ensuring equitable access to education</w:t>
      </w:r>
    </w:p>
    <w:p w14:paraId="0C14BA24" w14:textId="77777777" w:rsidR="00EF3CC6" w:rsidRPr="00EF3CC6" w:rsidRDefault="00EF3CC6" w:rsidP="00EF3CC6">
      <w:pPr>
        <w:widowControl/>
        <w:numPr>
          <w:ilvl w:val="0"/>
          <w:numId w:val="2"/>
        </w:numPr>
        <w:tabs>
          <w:tab w:val="clear" w:pos="720"/>
          <w:tab w:val="num" w:pos="1440"/>
        </w:tabs>
        <w:autoSpaceDE/>
        <w:autoSpaceDN/>
        <w:spacing w:before="100" w:beforeAutospacing="1" w:after="100" w:afterAutospacing="1"/>
        <w:ind w:left="1440"/>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Advancing equitable student learning and educational outcomes</w:t>
      </w:r>
    </w:p>
    <w:p w14:paraId="1235B9C4" w14:textId="77777777" w:rsidR="00EF3CC6" w:rsidRPr="00EF3CC6" w:rsidRDefault="00EF3CC6" w:rsidP="00EF3CC6">
      <w:pPr>
        <w:widowControl/>
        <w:numPr>
          <w:ilvl w:val="0"/>
          <w:numId w:val="2"/>
        </w:numPr>
        <w:tabs>
          <w:tab w:val="clear" w:pos="720"/>
          <w:tab w:val="num" w:pos="1440"/>
        </w:tabs>
        <w:autoSpaceDE/>
        <w:autoSpaceDN/>
        <w:spacing w:before="100" w:beforeAutospacing="1" w:after="100" w:afterAutospacing="1"/>
        <w:ind w:left="1440"/>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Fostering economic growth, inclusive prosperity, and a thriving community</w:t>
      </w:r>
    </w:p>
    <w:p w14:paraId="32246101" w14:textId="77777777" w:rsidR="00EF3CC6" w:rsidRPr="00EF3CC6" w:rsidRDefault="00EF3CC6" w:rsidP="00EF3CC6">
      <w:pPr>
        <w:widowControl/>
        <w:autoSpaceDE/>
        <w:autoSpaceDN/>
        <w:ind w:left="720"/>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Guiding Principles:</w:t>
      </w:r>
      <w:r w:rsidRPr="00EF3CC6">
        <w:rPr>
          <w:rFonts w:ascii="Open Sans" w:eastAsia="Times New Roman" w:hAnsi="Open Sans" w:cs="Open Sans"/>
          <w:color w:val="222222"/>
          <w:sz w:val="21"/>
          <w:szCs w:val="21"/>
        </w:rPr>
        <w:t> Open Communication, Respect, Integrity, Collaboration, and Equity and Inclusion.</w:t>
      </w:r>
    </w:p>
    <w:p w14:paraId="38AA442C" w14:textId="77777777" w:rsidR="00EF3CC6" w:rsidRPr="00EF3CC6" w:rsidRDefault="00EF3CC6" w:rsidP="00EF3CC6">
      <w:pPr>
        <w:widowControl/>
        <w:autoSpaceDE/>
        <w:autoSpaceDN/>
        <w:rPr>
          <w:rFonts w:ascii="Open Sans" w:eastAsia="Times New Roman" w:hAnsi="Open Sans" w:cs="Open Sans"/>
          <w:color w:val="222222"/>
          <w:sz w:val="21"/>
          <w:szCs w:val="21"/>
        </w:rPr>
      </w:pPr>
    </w:p>
    <w:p w14:paraId="77061988"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Where we are…</w:t>
      </w:r>
    </w:p>
    <w:p w14:paraId="400E7689"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Columbia Gorge Community College serves a diverse region in north-central Oregon and south-central Washington. CGCC acknowledges we are on the homelands of the Confederated Tribe of the Yakama Nation and neighboring tribes as well as the 14 bands along the Inchi I’wana (Columbia River). Our main campus is within the Columbia River Gorge National Scenic Area in The Dalles, Oregon. We also have a beautiful campus in the city of Hood River. </w:t>
      </w:r>
    </w:p>
    <w:p w14:paraId="05E6307A" w14:textId="77777777" w:rsidR="00EF3CC6" w:rsidRPr="00EF3CC6" w:rsidRDefault="00EF3CC6" w:rsidP="00EF3CC6">
      <w:pPr>
        <w:widowControl/>
        <w:autoSpaceDE/>
        <w:autoSpaceDN/>
        <w:rPr>
          <w:rFonts w:ascii="Open Sans" w:eastAsia="Times New Roman" w:hAnsi="Open Sans" w:cs="Open Sans"/>
          <w:color w:val="222222"/>
          <w:sz w:val="21"/>
          <w:szCs w:val="21"/>
        </w:rPr>
      </w:pPr>
    </w:p>
    <w:p w14:paraId="6ADE6F77"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What the area offers…</w:t>
      </w:r>
    </w:p>
    <w:p w14:paraId="72671C71"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Nestled in the breathtaking beauty of the Columbia River Gorge, our college offers more than just a job; it offers a unique lifestyle. Imagine waking up to stunning mountain views, enjoying outdoor adventures in your backyard, and being part of a tight-knit community dedicated to educational equity and innovation. </w:t>
      </w:r>
    </w:p>
    <w:p w14:paraId="78BB10C3" w14:textId="77777777" w:rsidR="00EF3CC6" w:rsidRPr="00EF3CC6" w:rsidRDefault="00EF3CC6" w:rsidP="00EF3CC6">
      <w:pPr>
        <w:widowControl/>
        <w:autoSpaceDE/>
        <w:autoSpaceDN/>
        <w:rPr>
          <w:rFonts w:ascii="Open Sans" w:eastAsia="Times New Roman" w:hAnsi="Open Sans" w:cs="Open Sans"/>
          <w:color w:val="222222"/>
          <w:sz w:val="21"/>
          <w:szCs w:val="21"/>
        </w:rPr>
      </w:pPr>
    </w:p>
    <w:p w14:paraId="3B7EF077" w14:textId="7B27DD70"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As a center of Native American trade for over 10,000 years and situated near the end of the Oregon Trail, the Columbia Gorge has a rich history. Much of the area is connected to agriculture, with large acreages of wheat fields, cherry, pear, and apple orchards. There are also dozens of world-class vineyards, wineries, and breweries that, together with outdoor recreation, have created a strong hospitality and tourism industry.</w:t>
      </w:r>
      <w:r>
        <w:rPr>
          <w:rFonts w:ascii="Open Sans" w:eastAsia="Times New Roman" w:hAnsi="Open Sans" w:cs="Open Sans"/>
          <w:color w:val="222222"/>
          <w:sz w:val="21"/>
          <w:szCs w:val="21"/>
        </w:rPr>
        <w:t xml:space="preserve">  Advanced manufacturing and information technology are expanding rapidly in the area.</w:t>
      </w:r>
    </w:p>
    <w:p w14:paraId="0FDBE72A" w14:textId="77777777" w:rsidR="00EF3CC6" w:rsidRPr="00EF3CC6" w:rsidRDefault="00EF3CC6" w:rsidP="00EF3CC6">
      <w:pPr>
        <w:widowControl/>
        <w:autoSpaceDE/>
        <w:autoSpaceDN/>
        <w:rPr>
          <w:rFonts w:ascii="Open Sans" w:eastAsia="Times New Roman" w:hAnsi="Open Sans" w:cs="Open Sans"/>
          <w:color w:val="222222"/>
          <w:sz w:val="21"/>
          <w:szCs w:val="21"/>
        </w:rPr>
      </w:pPr>
    </w:p>
    <w:p w14:paraId="023FF93F" w14:textId="75489CB3"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Organizations like Comunidades, The Columbia River Inter-Tribal Fish Commission, Washington Gorge Action Programs, and The Next Door are representative of the groups that span the Gorge area to provide community resources and leadership. Portland is roughly an hour away, with its various urban attractions and access to international travel.</w:t>
      </w:r>
    </w:p>
    <w:p w14:paraId="6B49A832" w14:textId="77777777" w:rsidR="00EF3CC6" w:rsidRPr="00EF3CC6" w:rsidRDefault="00EF3CC6" w:rsidP="00EF3CC6">
      <w:pPr>
        <w:widowControl/>
        <w:autoSpaceDE/>
        <w:autoSpaceDN/>
        <w:rPr>
          <w:rFonts w:ascii="Open Sans" w:eastAsia="Times New Roman" w:hAnsi="Open Sans" w:cs="Open Sans"/>
          <w:color w:val="222222"/>
          <w:sz w:val="21"/>
          <w:szCs w:val="21"/>
        </w:rPr>
      </w:pPr>
    </w:p>
    <w:p w14:paraId="03C67CDB"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What you will do…</w:t>
      </w:r>
    </w:p>
    <w:p w14:paraId="70B09D2C"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The Vice President of Administrative Services (VPAS) is responsible for leading the Administrative Services division and performs the following duties:</w:t>
      </w:r>
    </w:p>
    <w:p w14:paraId="428A82FE" w14:textId="77777777" w:rsidR="00EF3CC6" w:rsidRPr="00EF3CC6" w:rsidRDefault="00EF3CC6" w:rsidP="00EF3CC6">
      <w:pPr>
        <w:widowControl/>
        <w:autoSpaceDE/>
        <w:autoSpaceDN/>
        <w:rPr>
          <w:rFonts w:ascii="Open Sans" w:eastAsia="Times New Roman" w:hAnsi="Open Sans" w:cs="Open Sans"/>
          <w:color w:val="222222"/>
          <w:sz w:val="21"/>
          <w:szCs w:val="21"/>
        </w:rPr>
      </w:pPr>
    </w:p>
    <w:p w14:paraId="5B8658A5"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i/>
          <w:iCs/>
          <w:color w:val="222222"/>
          <w:sz w:val="21"/>
          <w:szCs w:val="21"/>
        </w:rPr>
        <w:t>Financial Operations/Services</w:t>
      </w:r>
    </w:p>
    <w:p w14:paraId="4C038E67" w14:textId="45E91FEB" w:rsidR="00EF3CC6" w:rsidRPr="00EF3CC6" w:rsidRDefault="0012288D" w:rsidP="00EF3CC6">
      <w:pPr>
        <w:widowControl/>
        <w:numPr>
          <w:ilvl w:val="0"/>
          <w:numId w:val="6"/>
        </w:numPr>
        <w:autoSpaceDE/>
        <w:autoSpaceDN/>
        <w:spacing w:before="100" w:beforeAutospacing="1" w:after="100" w:afterAutospacing="1"/>
        <w:rPr>
          <w:rFonts w:ascii="Open Sans" w:eastAsia="Times New Roman" w:hAnsi="Open Sans" w:cs="Open Sans"/>
          <w:color w:val="222222"/>
          <w:sz w:val="21"/>
          <w:szCs w:val="21"/>
        </w:rPr>
      </w:pPr>
      <w:r>
        <w:rPr>
          <w:rFonts w:ascii="Open Sans" w:eastAsia="Times New Roman" w:hAnsi="Open Sans" w:cs="Open Sans"/>
          <w:color w:val="222222"/>
          <w:sz w:val="21"/>
          <w:szCs w:val="21"/>
        </w:rPr>
        <w:t>Serve as the college’s Chief Financial Officer; o</w:t>
      </w:r>
      <w:r w:rsidR="00EF3CC6">
        <w:rPr>
          <w:rFonts w:ascii="Open Sans" w:eastAsia="Times New Roman" w:hAnsi="Open Sans" w:cs="Open Sans"/>
          <w:color w:val="222222"/>
          <w:sz w:val="21"/>
          <w:szCs w:val="21"/>
        </w:rPr>
        <w:t>versee</w:t>
      </w:r>
      <w:r w:rsidR="00EF3CC6" w:rsidRPr="00EF3CC6">
        <w:rPr>
          <w:rFonts w:ascii="Open Sans" w:eastAsia="Times New Roman" w:hAnsi="Open Sans" w:cs="Open Sans"/>
          <w:color w:val="222222"/>
          <w:sz w:val="21"/>
          <w:szCs w:val="21"/>
        </w:rPr>
        <w:t xml:space="preserve"> fiscal operations, evaluation, forecasting, and reporting on all budgets (e.g., operational, capital, enterprise) status and </w:t>
      </w:r>
      <w:r w:rsidR="00EF3CC6">
        <w:rPr>
          <w:rFonts w:ascii="Open Sans" w:eastAsia="Times New Roman" w:hAnsi="Open Sans" w:cs="Open Sans"/>
          <w:color w:val="222222"/>
          <w:sz w:val="21"/>
          <w:szCs w:val="21"/>
        </w:rPr>
        <w:t xml:space="preserve">perform </w:t>
      </w:r>
      <w:r w:rsidR="00EF3CC6" w:rsidRPr="00EF3CC6">
        <w:rPr>
          <w:rFonts w:ascii="Open Sans" w:eastAsia="Times New Roman" w:hAnsi="Open Sans" w:cs="Open Sans"/>
          <w:color w:val="222222"/>
          <w:sz w:val="21"/>
          <w:szCs w:val="21"/>
        </w:rPr>
        <w:t>cost/benefit analyses.</w:t>
      </w:r>
    </w:p>
    <w:p w14:paraId="2AE647C6" w14:textId="77777777" w:rsidR="0012288D" w:rsidRPr="00EF3CC6" w:rsidRDefault="0012288D" w:rsidP="0012288D">
      <w:pPr>
        <w:widowControl/>
        <w:numPr>
          <w:ilvl w:val="0"/>
          <w:numId w:val="6"/>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Monitor appropriated investments of temporary cash balances and safeguard all financial assets and resources.</w:t>
      </w:r>
    </w:p>
    <w:p w14:paraId="5F5C4A19" w14:textId="77777777" w:rsidR="0012288D" w:rsidRPr="00EF3CC6" w:rsidRDefault="0012288D" w:rsidP="0012288D">
      <w:pPr>
        <w:widowControl/>
        <w:numPr>
          <w:ilvl w:val="0"/>
          <w:numId w:val="6"/>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Prepare annual audit with independent auditors. </w:t>
      </w:r>
    </w:p>
    <w:p w14:paraId="7D192683" w14:textId="77777777" w:rsidR="0012288D" w:rsidRPr="00EF3CC6" w:rsidRDefault="0012288D" w:rsidP="0012288D">
      <w:pPr>
        <w:widowControl/>
        <w:numPr>
          <w:ilvl w:val="0"/>
          <w:numId w:val="6"/>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Oversee all capital and fiscal planning affecting the college.</w:t>
      </w:r>
    </w:p>
    <w:p w14:paraId="3F7AE4CD" w14:textId="44E08BDE" w:rsidR="00EF3CC6" w:rsidRPr="00EF3CC6" w:rsidRDefault="00EF3CC6" w:rsidP="00EF3CC6">
      <w:pPr>
        <w:widowControl/>
        <w:numPr>
          <w:ilvl w:val="0"/>
          <w:numId w:val="6"/>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 xml:space="preserve">Collaborate with and support the college community </w:t>
      </w:r>
      <w:r>
        <w:rPr>
          <w:rFonts w:ascii="Open Sans" w:eastAsia="Times New Roman" w:hAnsi="Open Sans" w:cs="Open Sans"/>
          <w:color w:val="222222"/>
          <w:sz w:val="21"/>
          <w:szCs w:val="21"/>
        </w:rPr>
        <w:t>to develop</w:t>
      </w:r>
      <w:r w:rsidRPr="00EF3CC6">
        <w:rPr>
          <w:rFonts w:ascii="Open Sans" w:eastAsia="Times New Roman" w:hAnsi="Open Sans" w:cs="Open Sans"/>
          <w:color w:val="222222"/>
          <w:sz w:val="21"/>
          <w:szCs w:val="21"/>
        </w:rPr>
        <w:t xml:space="preserve"> additional revenue (grants, enterprise accounts, alternate revenue streams, etc.).</w:t>
      </w:r>
    </w:p>
    <w:p w14:paraId="073662E4" w14:textId="77777777" w:rsidR="00EF3CC6" w:rsidRPr="00EF3CC6" w:rsidRDefault="00EF3CC6" w:rsidP="00EF3CC6">
      <w:pPr>
        <w:widowControl/>
        <w:numPr>
          <w:ilvl w:val="0"/>
          <w:numId w:val="6"/>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Work collaboratively with the college community to develop and implement both short and long-term financial and operational strategies that contribute directly and indirectly to student persistence and success.</w:t>
      </w:r>
    </w:p>
    <w:p w14:paraId="0A9947B1"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i/>
          <w:iCs/>
          <w:color w:val="222222"/>
          <w:sz w:val="21"/>
          <w:szCs w:val="21"/>
        </w:rPr>
        <w:t>Budgeting and Operational Planning</w:t>
      </w:r>
    </w:p>
    <w:p w14:paraId="355FFE55" w14:textId="77777777" w:rsidR="00EF3CC6" w:rsidRPr="00EF3CC6" w:rsidRDefault="00EF3CC6" w:rsidP="00EF3CC6">
      <w:pPr>
        <w:widowControl/>
        <w:numPr>
          <w:ilvl w:val="0"/>
          <w:numId w:val="4"/>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Develop administrative goals and strategies to ensure the achievement of college priorities.</w:t>
      </w:r>
    </w:p>
    <w:p w14:paraId="3EACE316" w14:textId="51A3B2E4" w:rsidR="00EF3CC6" w:rsidRPr="00EF3CC6" w:rsidRDefault="00EF3CC6" w:rsidP="00EF3CC6">
      <w:pPr>
        <w:widowControl/>
        <w:numPr>
          <w:ilvl w:val="0"/>
          <w:numId w:val="4"/>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 xml:space="preserve">Develop short-term and long-term financial forecasts to project the college's financial health and identify potential budget challenges and opportunities. </w:t>
      </w:r>
    </w:p>
    <w:p w14:paraId="0990A587" w14:textId="77777777" w:rsidR="00EF3CC6" w:rsidRPr="00EF3CC6" w:rsidRDefault="00EF3CC6" w:rsidP="00EF3CC6">
      <w:pPr>
        <w:widowControl/>
        <w:numPr>
          <w:ilvl w:val="0"/>
          <w:numId w:val="4"/>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Maintain a strong commitment to equity-minded assessment practices, using data to inform decision-making, budgetary planning, as well as facilities, technology, and operational planning.</w:t>
      </w:r>
    </w:p>
    <w:p w14:paraId="69922FEB" w14:textId="77777777" w:rsidR="0012288D" w:rsidRPr="00EF3CC6" w:rsidRDefault="0012288D" w:rsidP="0012288D">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i/>
          <w:iCs/>
          <w:color w:val="222222"/>
          <w:sz w:val="21"/>
          <w:szCs w:val="21"/>
        </w:rPr>
        <w:t>Unit Leadership</w:t>
      </w:r>
    </w:p>
    <w:p w14:paraId="28453CB7" w14:textId="77777777" w:rsidR="0012288D" w:rsidRPr="00EF3CC6" w:rsidRDefault="0012288D" w:rsidP="0012288D">
      <w:pPr>
        <w:widowControl/>
        <w:numPr>
          <w:ilvl w:val="0"/>
          <w:numId w:val="3"/>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Oversee the recruitment, evaluation, and talent management of staff within the Administrative Services unit to promote innovation, excellence, equity, inclusion, and belonging across the college community.</w:t>
      </w:r>
    </w:p>
    <w:p w14:paraId="0336F301" w14:textId="77777777" w:rsidR="0012288D" w:rsidRPr="00EF3CC6" w:rsidRDefault="0012288D" w:rsidP="0012288D">
      <w:pPr>
        <w:widowControl/>
        <w:numPr>
          <w:ilvl w:val="0"/>
          <w:numId w:val="3"/>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Inspire a diverse group of employees through mentoring, professional development, and coaching; provide leadership, coordination, and oversight for the college's Administrative Services unit.</w:t>
      </w:r>
    </w:p>
    <w:p w14:paraId="6E151B84" w14:textId="77777777" w:rsidR="0012288D" w:rsidRPr="00EF3CC6" w:rsidRDefault="0012288D" w:rsidP="0012288D">
      <w:pPr>
        <w:widowControl/>
        <w:numPr>
          <w:ilvl w:val="0"/>
          <w:numId w:val="3"/>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lastRenderedPageBreak/>
        <w:t>Oversee management of facilities and information technology</w:t>
      </w:r>
      <w:r>
        <w:rPr>
          <w:rFonts w:ascii="Open Sans" w:eastAsia="Times New Roman" w:hAnsi="Open Sans" w:cs="Open Sans"/>
          <w:color w:val="222222"/>
          <w:sz w:val="21"/>
          <w:szCs w:val="21"/>
        </w:rPr>
        <w:t>.</w:t>
      </w:r>
    </w:p>
    <w:p w14:paraId="3ACD92F6" w14:textId="77777777" w:rsidR="0012288D" w:rsidRPr="00EF3CC6" w:rsidRDefault="0012288D" w:rsidP="0012288D">
      <w:pPr>
        <w:widowControl/>
        <w:numPr>
          <w:ilvl w:val="0"/>
          <w:numId w:val="3"/>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Manage enterprise services, including the college bookstore and cafe.</w:t>
      </w:r>
    </w:p>
    <w:p w14:paraId="38BC8DEF"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i/>
          <w:iCs/>
          <w:color w:val="222222"/>
          <w:sz w:val="21"/>
          <w:szCs w:val="21"/>
        </w:rPr>
        <w:t>College Leadership</w:t>
      </w:r>
    </w:p>
    <w:p w14:paraId="349DEED4" w14:textId="77777777" w:rsidR="00EF3CC6" w:rsidRPr="00EF3CC6" w:rsidRDefault="00EF3CC6" w:rsidP="00EF3CC6">
      <w:pPr>
        <w:widowControl/>
        <w:numPr>
          <w:ilvl w:val="0"/>
          <w:numId w:val="7"/>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Foster inclusive communication and collaboration with all faculty, staff, and students to provide administrative support; develop equitable processes and procedures that support integrated strategic planning and organizational efficiency and effectiveness.</w:t>
      </w:r>
    </w:p>
    <w:p w14:paraId="29E00F29" w14:textId="77777777" w:rsidR="00EF3CC6" w:rsidRPr="00EF3CC6" w:rsidRDefault="00EF3CC6" w:rsidP="00EF3CC6">
      <w:pPr>
        <w:widowControl/>
        <w:numPr>
          <w:ilvl w:val="0"/>
          <w:numId w:val="7"/>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Provide leadership and support for</w:t>
      </w:r>
      <w:r>
        <w:rPr>
          <w:rFonts w:ascii="Open Sans" w:eastAsia="Times New Roman" w:hAnsi="Open Sans" w:cs="Open Sans"/>
          <w:color w:val="222222"/>
          <w:sz w:val="21"/>
          <w:szCs w:val="21"/>
        </w:rPr>
        <w:t xml:space="preserve"> </w:t>
      </w:r>
      <w:r w:rsidRPr="00EF3CC6">
        <w:rPr>
          <w:rFonts w:ascii="Open Sans" w:eastAsia="Times New Roman" w:hAnsi="Open Sans" w:cs="Open Sans"/>
          <w:color w:val="222222"/>
          <w:sz w:val="21"/>
          <w:szCs w:val="21"/>
        </w:rPr>
        <w:t xml:space="preserve">contract negotiations, policy monitoring, </w:t>
      </w:r>
      <w:r>
        <w:rPr>
          <w:rFonts w:ascii="Open Sans" w:eastAsia="Times New Roman" w:hAnsi="Open Sans" w:cs="Open Sans"/>
          <w:color w:val="222222"/>
          <w:sz w:val="21"/>
          <w:szCs w:val="21"/>
        </w:rPr>
        <w:t xml:space="preserve">procurement, and </w:t>
      </w:r>
      <w:r w:rsidRPr="00EF3CC6">
        <w:rPr>
          <w:rFonts w:ascii="Open Sans" w:eastAsia="Times New Roman" w:hAnsi="Open Sans" w:cs="Open Sans"/>
          <w:color w:val="222222"/>
          <w:sz w:val="21"/>
          <w:szCs w:val="21"/>
        </w:rPr>
        <w:t>purchasing; ensure compliance with regulatory agencies’ requirements and college policies and procedures.</w:t>
      </w:r>
    </w:p>
    <w:p w14:paraId="5EAF9363" w14:textId="77777777" w:rsidR="00EF3CC6" w:rsidRPr="00EF3CC6" w:rsidRDefault="00EF3CC6" w:rsidP="00EF3CC6">
      <w:pPr>
        <w:widowControl/>
        <w:numPr>
          <w:ilvl w:val="0"/>
          <w:numId w:val="7"/>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Cultivate relationships with business, community, industry, municipal, and higher education leaders; collaborate with other college leaders to design, lead, and support initiatives leveraging community partnerships and business relationships to maximize equitable learning opportunities and outcomes for all learners.</w:t>
      </w:r>
    </w:p>
    <w:p w14:paraId="13B27110" w14:textId="77777777" w:rsidR="00EF3CC6" w:rsidRPr="00EF3CC6" w:rsidRDefault="00EF3CC6" w:rsidP="00EF3CC6">
      <w:pPr>
        <w:widowControl/>
        <w:numPr>
          <w:ilvl w:val="0"/>
          <w:numId w:val="7"/>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Encourage the use of environmentally sustainable practices and procedures across the college. </w:t>
      </w:r>
    </w:p>
    <w:p w14:paraId="3FA82C22" w14:textId="77777777" w:rsidR="00EF3CC6" w:rsidRPr="00EF3CC6" w:rsidRDefault="00EF3CC6" w:rsidP="00EF3CC6">
      <w:pPr>
        <w:widowControl/>
        <w:numPr>
          <w:ilvl w:val="0"/>
          <w:numId w:val="7"/>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 xml:space="preserve">Dismantle systems and barriers </w:t>
      </w:r>
      <w:r>
        <w:rPr>
          <w:rFonts w:ascii="Open Sans" w:eastAsia="Times New Roman" w:hAnsi="Open Sans" w:cs="Open Sans"/>
          <w:color w:val="222222"/>
          <w:sz w:val="21"/>
          <w:szCs w:val="21"/>
        </w:rPr>
        <w:t>to</w:t>
      </w:r>
      <w:r w:rsidRPr="00EF3CC6">
        <w:rPr>
          <w:rFonts w:ascii="Open Sans" w:eastAsia="Times New Roman" w:hAnsi="Open Sans" w:cs="Open Sans"/>
          <w:color w:val="222222"/>
          <w:sz w:val="21"/>
          <w:szCs w:val="21"/>
        </w:rPr>
        <w:t xml:space="preserve"> </w:t>
      </w:r>
      <w:r>
        <w:rPr>
          <w:rFonts w:ascii="Open Sans" w:eastAsia="Times New Roman" w:hAnsi="Open Sans" w:cs="Open Sans"/>
          <w:color w:val="222222"/>
          <w:sz w:val="21"/>
          <w:szCs w:val="21"/>
        </w:rPr>
        <w:t xml:space="preserve">better achieve </w:t>
      </w:r>
      <w:r w:rsidRPr="00EF3CC6">
        <w:rPr>
          <w:rFonts w:ascii="Open Sans" w:eastAsia="Times New Roman" w:hAnsi="Open Sans" w:cs="Open Sans"/>
          <w:color w:val="222222"/>
          <w:sz w:val="21"/>
          <w:szCs w:val="21"/>
        </w:rPr>
        <w:t>equitable student</w:t>
      </w:r>
      <w:r>
        <w:rPr>
          <w:rFonts w:ascii="Open Sans" w:eastAsia="Times New Roman" w:hAnsi="Open Sans" w:cs="Open Sans"/>
          <w:color w:val="222222"/>
          <w:sz w:val="21"/>
          <w:szCs w:val="21"/>
        </w:rPr>
        <w:t xml:space="preserve"> learning and</w:t>
      </w:r>
      <w:r w:rsidRPr="00EF3CC6">
        <w:rPr>
          <w:rFonts w:ascii="Open Sans" w:eastAsia="Times New Roman" w:hAnsi="Open Sans" w:cs="Open Sans"/>
          <w:color w:val="222222"/>
          <w:sz w:val="21"/>
          <w:szCs w:val="21"/>
        </w:rPr>
        <w:t xml:space="preserve"> </w:t>
      </w:r>
      <w:r>
        <w:rPr>
          <w:rFonts w:ascii="Open Sans" w:eastAsia="Times New Roman" w:hAnsi="Open Sans" w:cs="Open Sans"/>
          <w:color w:val="222222"/>
          <w:sz w:val="21"/>
          <w:szCs w:val="21"/>
        </w:rPr>
        <w:t>outcomes</w:t>
      </w:r>
      <w:r w:rsidRPr="00EF3CC6">
        <w:rPr>
          <w:rFonts w:ascii="Open Sans" w:eastAsia="Times New Roman" w:hAnsi="Open Sans" w:cs="Open Sans"/>
          <w:color w:val="222222"/>
          <w:sz w:val="21"/>
          <w:szCs w:val="21"/>
        </w:rPr>
        <w:t>.</w:t>
      </w:r>
    </w:p>
    <w:p w14:paraId="350009B9" w14:textId="77777777" w:rsidR="00EF3CC6" w:rsidRDefault="00EF3CC6" w:rsidP="00EF3CC6">
      <w:pPr>
        <w:widowControl/>
        <w:autoSpaceDE/>
        <w:autoSpaceDN/>
        <w:rPr>
          <w:rFonts w:ascii="Open Sans" w:eastAsia="Times New Roman" w:hAnsi="Open Sans" w:cs="Open Sans"/>
          <w:b/>
          <w:bCs/>
          <w:color w:val="222222"/>
          <w:sz w:val="21"/>
          <w:szCs w:val="21"/>
        </w:rPr>
      </w:pPr>
    </w:p>
    <w:p w14:paraId="36727C03" w14:textId="10B61994" w:rsidR="00EF3CC6" w:rsidRPr="00EF3CC6" w:rsidRDefault="00EF3CC6" w:rsidP="00EF3CC6">
      <w:pPr>
        <w:widowControl/>
        <w:autoSpaceDE/>
        <w:autoSpaceDN/>
        <w:rPr>
          <w:rFonts w:ascii="Open Sans" w:eastAsia="Times New Roman" w:hAnsi="Open Sans" w:cs="Open Sans"/>
          <w:b/>
          <w:bCs/>
          <w:color w:val="222222"/>
          <w:sz w:val="21"/>
          <w:szCs w:val="21"/>
        </w:rPr>
      </w:pPr>
      <w:r w:rsidRPr="00EF3CC6">
        <w:rPr>
          <w:rFonts w:ascii="Open Sans" w:eastAsia="Times New Roman" w:hAnsi="Open Sans" w:cs="Open Sans"/>
          <w:b/>
          <w:bCs/>
          <w:color w:val="222222"/>
          <w:sz w:val="21"/>
          <w:szCs w:val="21"/>
        </w:rPr>
        <w:t>Requirements</w:t>
      </w:r>
    </w:p>
    <w:p w14:paraId="610C455F" w14:textId="1FCE663A" w:rsidR="00EF3CC6" w:rsidRPr="00EF3CC6" w:rsidRDefault="00EF3CC6" w:rsidP="00DB0FF4">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 xml:space="preserve">What you </w:t>
      </w:r>
      <w:r w:rsidR="00DB0FF4">
        <w:rPr>
          <w:rFonts w:ascii="Open Sans" w:eastAsia="Times New Roman" w:hAnsi="Open Sans" w:cs="Open Sans"/>
          <w:b/>
          <w:bCs/>
          <w:color w:val="222222"/>
          <w:sz w:val="21"/>
          <w:szCs w:val="21"/>
        </w:rPr>
        <w:t xml:space="preserve">(preferably) </w:t>
      </w:r>
      <w:r w:rsidRPr="00EF3CC6">
        <w:rPr>
          <w:rFonts w:ascii="Open Sans" w:eastAsia="Times New Roman" w:hAnsi="Open Sans" w:cs="Open Sans"/>
          <w:b/>
          <w:bCs/>
          <w:color w:val="222222"/>
          <w:sz w:val="21"/>
          <w:szCs w:val="21"/>
        </w:rPr>
        <w:t>bring….</w:t>
      </w:r>
    </w:p>
    <w:p w14:paraId="1306308E" w14:textId="77777777" w:rsidR="00EF3CC6" w:rsidRPr="00EF3CC6" w:rsidRDefault="00EF3CC6" w:rsidP="00DB0FF4">
      <w:pPr>
        <w:widowControl/>
        <w:numPr>
          <w:ilvl w:val="0"/>
          <w:numId w:val="8"/>
        </w:numPr>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Demonstrated knowledge of principles and standards of fund accounting</w:t>
      </w:r>
      <w:r>
        <w:rPr>
          <w:rFonts w:ascii="Open Sans" w:eastAsia="Times New Roman" w:hAnsi="Open Sans" w:cs="Open Sans"/>
          <w:color w:val="222222"/>
          <w:sz w:val="21"/>
          <w:szCs w:val="21"/>
        </w:rPr>
        <w:t xml:space="preserve"> and budget audits</w:t>
      </w:r>
      <w:r w:rsidRPr="00EF3CC6">
        <w:rPr>
          <w:rFonts w:ascii="Open Sans" w:eastAsia="Times New Roman" w:hAnsi="Open Sans" w:cs="Open Sans"/>
          <w:color w:val="222222"/>
          <w:sz w:val="21"/>
          <w:szCs w:val="21"/>
        </w:rPr>
        <w:t xml:space="preserve"> for public colleges and universities as defined by AICPA and GASB.</w:t>
      </w:r>
    </w:p>
    <w:p w14:paraId="2ECE35E3" w14:textId="0A8A59BF" w:rsidR="00EF3CC6" w:rsidRPr="00EF3CC6" w:rsidRDefault="00EF3CC6" w:rsidP="00EF3CC6">
      <w:pPr>
        <w:widowControl/>
        <w:numPr>
          <w:ilvl w:val="0"/>
          <w:numId w:val="8"/>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 xml:space="preserve">Master’s degree in Accounting, Business Administration, or related field </w:t>
      </w:r>
      <w:r w:rsidR="00DB0FF4">
        <w:rPr>
          <w:rFonts w:ascii="Open Sans" w:eastAsia="Times New Roman" w:hAnsi="Open Sans" w:cs="Open Sans"/>
          <w:color w:val="222222"/>
          <w:sz w:val="21"/>
          <w:szCs w:val="21"/>
        </w:rPr>
        <w:t>such as business, economics, finance, management, etc</w:t>
      </w:r>
      <w:r w:rsidRPr="00EF3CC6">
        <w:rPr>
          <w:rFonts w:ascii="Open Sans" w:eastAsia="Times New Roman" w:hAnsi="Open Sans" w:cs="Open Sans"/>
          <w:color w:val="222222"/>
          <w:sz w:val="21"/>
          <w:szCs w:val="21"/>
        </w:rPr>
        <w:t>.</w:t>
      </w:r>
    </w:p>
    <w:p w14:paraId="78412353" w14:textId="5DC6E69D" w:rsidR="00EF3CC6" w:rsidRPr="00EF3CC6" w:rsidRDefault="00EF3CC6" w:rsidP="00EF3CC6">
      <w:pPr>
        <w:widowControl/>
        <w:numPr>
          <w:ilvl w:val="0"/>
          <w:numId w:val="8"/>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Experience implementing/managing Enterprise Resources Planning (ERP)</w:t>
      </w:r>
      <w:r w:rsidR="00DB0FF4">
        <w:rPr>
          <w:rFonts w:ascii="Open Sans" w:eastAsia="Times New Roman" w:hAnsi="Open Sans" w:cs="Open Sans"/>
          <w:color w:val="222222"/>
          <w:sz w:val="21"/>
          <w:szCs w:val="21"/>
        </w:rPr>
        <w:t xml:space="preserve"> software</w:t>
      </w:r>
      <w:r w:rsidRPr="00EF3CC6">
        <w:rPr>
          <w:rFonts w:ascii="Open Sans" w:eastAsia="Times New Roman" w:hAnsi="Open Sans" w:cs="Open Sans"/>
          <w:color w:val="222222"/>
          <w:sz w:val="21"/>
          <w:szCs w:val="21"/>
        </w:rPr>
        <w:t>.</w:t>
      </w:r>
    </w:p>
    <w:p w14:paraId="0DC72F41" w14:textId="0624030F" w:rsidR="00EF3CC6" w:rsidRPr="00EF3CC6" w:rsidRDefault="00EF3CC6" w:rsidP="00EF3CC6">
      <w:pPr>
        <w:widowControl/>
        <w:numPr>
          <w:ilvl w:val="0"/>
          <w:numId w:val="8"/>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 xml:space="preserve">Experience promoting equity-minded </w:t>
      </w:r>
      <w:r w:rsidR="00DB0FF4">
        <w:rPr>
          <w:rFonts w:ascii="Open Sans" w:eastAsia="Times New Roman" w:hAnsi="Open Sans" w:cs="Open Sans"/>
          <w:color w:val="222222"/>
          <w:sz w:val="21"/>
          <w:szCs w:val="21"/>
        </w:rPr>
        <w:t>policies and practices;</w:t>
      </w:r>
      <w:r w:rsidRPr="00EF3CC6">
        <w:rPr>
          <w:rFonts w:ascii="Open Sans" w:eastAsia="Times New Roman" w:hAnsi="Open Sans" w:cs="Open Sans"/>
          <w:color w:val="222222"/>
          <w:sz w:val="21"/>
          <w:szCs w:val="21"/>
        </w:rPr>
        <w:t xml:space="preserve"> experience in responsiveness to</w:t>
      </w:r>
      <w:r w:rsidR="00DB0FF4">
        <w:rPr>
          <w:rFonts w:ascii="Open Sans" w:eastAsia="Times New Roman" w:hAnsi="Open Sans" w:cs="Open Sans"/>
          <w:color w:val="222222"/>
          <w:sz w:val="21"/>
          <w:szCs w:val="21"/>
        </w:rPr>
        <w:t>,</w:t>
      </w:r>
      <w:r w:rsidRPr="00EF3CC6">
        <w:rPr>
          <w:rFonts w:ascii="Open Sans" w:eastAsia="Times New Roman" w:hAnsi="Open Sans" w:cs="Open Sans"/>
          <w:color w:val="222222"/>
          <w:sz w:val="21"/>
          <w:szCs w:val="21"/>
        </w:rPr>
        <w:t xml:space="preserve"> and understanding of</w:t>
      </w:r>
      <w:r w:rsidR="00DB0FF4">
        <w:rPr>
          <w:rFonts w:ascii="Open Sans" w:eastAsia="Times New Roman" w:hAnsi="Open Sans" w:cs="Open Sans"/>
          <w:color w:val="222222"/>
          <w:sz w:val="21"/>
          <w:szCs w:val="21"/>
        </w:rPr>
        <w:t>,</w:t>
      </w:r>
      <w:r w:rsidRPr="00EF3CC6">
        <w:rPr>
          <w:rFonts w:ascii="Open Sans" w:eastAsia="Times New Roman" w:hAnsi="Open Sans" w:cs="Open Sans"/>
          <w:color w:val="222222"/>
          <w:sz w:val="21"/>
          <w:szCs w:val="21"/>
        </w:rPr>
        <w:t xml:space="preserve"> the diverse academic, socioeconomic, cultural, disability, gender identity, sexual orientation, and ethnic backgrounds of community college students and employees. </w:t>
      </w:r>
    </w:p>
    <w:p w14:paraId="2D6C7DDF" w14:textId="77777777" w:rsidR="00EF3CC6" w:rsidRPr="00EF3CC6" w:rsidRDefault="00EF3CC6" w:rsidP="00DB0FF4">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Minimum Requirements…</w:t>
      </w:r>
    </w:p>
    <w:p w14:paraId="3625A2C3" w14:textId="0A91B614" w:rsidR="00EF3CC6" w:rsidRPr="00EF3CC6" w:rsidRDefault="00EF3CC6" w:rsidP="00DB0FF4">
      <w:pPr>
        <w:widowControl/>
        <w:numPr>
          <w:ilvl w:val="0"/>
          <w:numId w:val="9"/>
        </w:numPr>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Bachelor’s degree from an accredited institution is required, preferably in a related field such as business, economics, finance, or similar field.</w:t>
      </w:r>
    </w:p>
    <w:p w14:paraId="5CE1E902" w14:textId="77777777" w:rsidR="00EF3CC6" w:rsidRPr="00EF3CC6" w:rsidRDefault="00EF3CC6" w:rsidP="00EF3CC6">
      <w:pPr>
        <w:widowControl/>
        <w:numPr>
          <w:ilvl w:val="0"/>
          <w:numId w:val="9"/>
        </w:numPr>
        <w:autoSpaceDE/>
        <w:autoSpaceDN/>
        <w:spacing w:before="100" w:beforeAutospacing="1" w:after="100" w:afterAutospacing="1"/>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Minimum of three (3) years of senior-level experience in finance and administrative services with demonstrated technical expertise.</w:t>
      </w:r>
    </w:p>
    <w:p w14:paraId="61B4C738"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Position information</w:t>
      </w:r>
      <w:r w:rsidRPr="00EF3CC6">
        <w:rPr>
          <w:rFonts w:ascii="Open Sans" w:eastAsia="Times New Roman" w:hAnsi="Open Sans" w:cs="Open Sans"/>
          <w:color w:val="222222"/>
          <w:sz w:val="21"/>
          <w:szCs w:val="21"/>
        </w:rPr>
        <w:t> </w:t>
      </w:r>
    </w:p>
    <w:p w14:paraId="6F4B92D9" w14:textId="3F2EECF6"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Studies have shown that women and people of color may be less likely to apply for jobs unless they meet every one of the qualifications listed. We are most interested in finding the best candidate for the job. We would encourage you to apply, even if you don't meet every one of our qualifications listed. If you are unsure whether you meet the qualifications for this position, please contact us to discuss your application. </w:t>
      </w:r>
    </w:p>
    <w:p w14:paraId="414D7110" w14:textId="77777777" w:rsidR="00EF3CC6" w:rsidRPr="00EF3CC6" w:rsidRDefault="00EF3CC6" w:rsidP="00EF3CC6">
      <w:pPr>
        <w:widowControl/>
        <w:autoSpaceDE/>
        <w:autoSpaceDN/>
        <w:rPr>
          <w:rFonts w:ascii="Open Sans" w:eastAsia="Times New Roman" w:hAnsi="Open Sans" w:cs="Open Sans"/>
          <w:color w:val="222222"/>
          <w:sz w:val="21"/>
          <w:szCs w:val="21"/>
        </w:rPr>
      </w:pPr>
    </w:p>
    <w:p w14:paraId="52F751BF" w14:textId="6BF340A3"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b/>
          <w:bCs/>
          <w:color w:val="222222"/>
          <w:sz w:val="21"/>
          <w:szCs w:val="21"/>
        </w:rPr>
        <w:t xml:space="preserve">Open until filled. An initial review of applications will begin </w:t>
      </w:r>
      <w:r>
        <w:rPr>
          <w:rFonts w:ascii="Open Sans" w:eastAsia="Times New Roman" w:hAnsi="Open Sans" w:cs="Open Sans"/>
          <w:b/>
          <w:bCs/>
          <w:color w:val="222222"/>
          <w:sz w:val="21"/>
          <w:szCs w:val="21"/>
        </w:rPr>
        <w:t>November 29</w:t>
      </w:r>
      <w:r w:rsidRPr="00EF3CC6">
        <w:rPr>
          <w:rFonts w:ascii="Open Sans" w:eastAsia="Times New Roman" w:hAnsi="Open Sans" w:cs="Open Sans"/>
          <w:b/>
          <w:bCs/>
          <w:color w:val="222222"/>
          <w:sz w:val="21"/>
          <w:szCs w:val="21"/>
        </w:rPr>
        <w:t>, 2024.</w:t>
      </w:r>
    </w:p>
    <w:p w14:paraId="7507EB8B" w14:textId="77777777"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In alignment with Pay Equity principles, the starting salary is based on qualifications, experience, and internal equity.</w:t>
      </w:r>
    </w:p>
    <w:p w14:paraId="4BE4278F" w14:textId="4C71A760" w:rsidR="00EF3CC6" w:rsidRPr="00EF3CC6" w:rsidRDefault="00EF3CC6" w:rsidP="00EF3CC6">
      <w:pPr>
        <w:widowControl/>
        <w:autoSpaceDE/>
        <w:autoSpaceDN/>
        <w:rPr>
          <w:rFonts w:ascii="Open Sans" w:eastAsia="Times New Roman" w:hAnsi="Open Sans" w:cs="Open Sans"/>
          <w:color w:val="222222"/>
          <w:sz w:val="21"/>
          <w:szCs w:val="21"/>
        </w:rPr>
      </w:pPr>
      <w:r w:rsidRPr="00EF3CC6">
        <w:rPr>
          <w:rFonts w:ascii="Open Sans" w:eastAsia="Times New Roman" w:hAnsi="Open Sans" w:cs="Open Sans"/>
          <w:color w:val="222222"/>
          <w:sz w:val="21"/>
          <w:szCs w:val="21"/>
        </w:rPr>
        <w:t>Please include a resume and letter of interest with your application materials</w:t>
      </w:r>
      <w:r>
        <w:rPr>
          <w:rFonts w:ascii="Open Sans" w:eastAsia="Times New Roman" w:hAnsi="Open Sans" w:cs="Open Sans"/>
          <w:color w:val="222222"/>
          <w:sz w:val="21"/>
          <w:szCs w:val="21"/>
        </w:rPr>
        <w:t>.</w:t>
      </w:r>
    </w:p>
    <w:p w14:paraId="2592A226" w14:textId="77777777" w:rsidR="00211F4D" w:rsidRPr="00EF3CC6" w:rsidRDefault="00211F4D" w:rsidP="00EF3CC6"/>
    <w:sectPr w:rsidR="00211F4D" w:rsidRPr="00EF3CC6" w:rsidSect="00EF3CC6">
      <w:type w:val="continuous"/>
      <w:pgSz w:w="12240" w:h="15840"/>
      <w:pgMar w:top="1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5773"/>
    <w:multiLevelType w:val="multilevel"/>
    <w:tmpl w:val="3714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A07C1"/>
    <w:multiLevelType w:val="multilevel"/>
    <w:tmpl w:val="3AE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031F7"/>
    <w:multiLevelType w:val="multilevel"/>
    <w:tmpl w:val="271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D387B"/>
    <w:multiLevelType w:val="hybridMultilevel"/>
    <w:tmpl w:val="19C61470"/>
    <w:lvl w:ilvl="0" w:tplc="699CFC74">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75B8849C">
      <w:numFmt w:val="bullet"/>
      <w:lvlText w:val="•"/>
      <w:lvlJc w:val="left"/>
      <w:pPr>
        <w:ind w:left="1694" w:hanging="360"/>
      </w:pPr>
      <w:rPr>
        <w:rFonts w:hint="default"/>
        <w:lang w:val="en-US" w:eastAsia="en-US" w:bidi="ar-SA"/>
      </w:rPr>
    </w:lvl>
    <w:lvl w:ilvl="2" w:tplc="D87A7264">
      <w:numFmt w:val="bullet"/>
      <w:lvlText w:val="•"/>
      <w:lvlJc w:val="left"/>
      <w:pPr>
        <w:ind w:left="2568" w:hanging="360"/>
      </w:pPr>
      <w:rPr>
        <w:rFonts w:hint="default"/>
        <w:lang w:val="en-US" w:eastAsia="en-US" w:bidi="ar-SA"/>
      </w:rPr>
    </w:lvl>
    <w:lvl w:ilvl="3" w:tplc="E54674D0">
      <w:numFmt w:val="bullet"/>
      <w:lvlText w:val="•"/>
      <w:lvlJc w:val="left"/>
      <w:pPr>
        <w:ind w:left="3442" w:hanging="360"/>
      </w:pPr>
      <w:rPr>
        <w:rFonts w:hint="default"/>
        <w:lang w:val="en-US" w:eastAsia="en-US" w:bidi="ar-SA"/>
      </w:rPr>
    </w:lvl>
    <w:lvl w:ilvl="4" w:tplc="BA5A879E">
      <w:numFmt w:val="bullet"/>
      <w:lvlText w:val="•"/>
      <w:lvlJc w:val="left"/>
      <w:pPr>
        <w:ind w:left="4316" w:hanging="360"/>
      </w:pPr>
      <w:rPr>
        <w:rFonts w:hint="default"/>
        <w:lang w:val="en-US" w:eastAsia="en-US" w:bidi="ar-SA"/>
      </w:rPr>
    </w:lvl>
    <w:lvl w:ilvl="5" w:tplc="4E2EB5AA">
      <w:numFmt w:val="bullet"/>
      <w:lvlText w:val="•"/>
      <w:lvlJc w:val="left"/>
      <w:pPr>
        <w:ind w:left="5190" w:hanging="360"/>
      </w:pPr>
      <w:rPr>
        <w:rFonts w:hint="default"/>
        <w:lang w:val="en-US" w:eastAsia="en-US" w:bidi="ar-SA"/>
      </w:rPr>
    </w:lvl>
    <w:lvl w:ilvl="6" w:tplc="AE2C8392">
      <w:numFmt w:val="bullet"/>
      <w:lvlText w:val="•"/>
      <w:lvlJc w:val="left"/>
      <w:pPr>
        <w:ind w:left="6064" w:hanging="360"/>
      </w:pPr>
      <w:rPr>
        <w:rFonts w:hint="default"/>
        <w:lang w:val="en-US" w:eastAsia="en-US" w:bidi="ar-SA"/>
      </w:rPr>
    </w:lvl>
    <w:lvl w:ilvl="7" w:tplc="F1EEEDC4">
      <w:numFmt w:val="bullet"/>
      <w:lvlText w:val="•"/>
      <w:lvlJc w:val="left"/>
      <w:pPr>
        <w:ind w:left="6938" w:hanging="360"/>
      </w:pPr>
      <w:rPr>
        <w:rFonts w:hint="default"/>
        <w:lang w:val="en-US" w:eastAsia="en-US" w:bidi="ar-SA"/>
      </w:rPr>
    </w:lvl>
    <w:lvl w:ilvl="8" w:tplc="35E4F6AA">
      <w:numFmt w:val="bullet"/>
      <w:lvlText w:val="•"/>
      <w:lvlJc w:val="left"/>
      <w:pPr>
        <w:ind w:left="7812" w:hanging="360"/>
      </w:pPr>
      <w:rPr>
        <w:rFonts w:hint="default"/>
        <w:lang w:val="en-US" w:eastAsia="en-US" w:bidi="ar-SA"/>
      </w:rPr>
    </w:lvl>
  </w:abstractNum>
  <w:abstractNum w:abstractNumId="4" w15:restartNumberingAfterBreak="0">
    <w:nsid w:val="6DC57932"/>
    <w:multiLevelType w:val="multilevel"/>
    <w:tmpl w:val="8C0A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D36A9"/>
    <w:multiLevelType w:val="multilevel"/>
    <w:tmpl w:val="7AC0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303EF"/>
    <w:multiLevelType w:val="multilevel"/>
    <w:tmpl w:val="28F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E5D76"/>
    <w:multiLevelType w:val="multilevel"/>
    <w:tmpl w:val="A046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64093"/>
    <w:multiLevelType w:val="multilevel"/>
    <w:tmpl w:val="FB1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0"/>
  </w:num>
  <w:num w:numId="5">
    <w:abstractNumId w:val="5"/>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4D"/>
    <w:rsid w:val="000A440B"/>
    <w:rsid w:val="0012288D"/>
    <w:rsid w:val="00211F4D"/>
    <w:rsid w:val="002B22A1"/>
    <w:rsid w:val="002F183F"/>
    <w:rsid w:val="005939BF"/>
    <w:rsid w:val="00DB0FF4"/>
    <w:rsid w:val="00E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E1F9"/>
  <w15:docId w15:val="{19C3E4AF-29BB-A44C-93C6-C6F7B332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22294">
      <w:bodyDiv w:val="1"/>
      <w:marLeft w:val="0"/>
      <w:marRight w:val="0"/>
      <w:marTop w:val="0"/>
      <w:marBottom w:val="0"/>
      <w:divBdr>
        <w:top w:val="none" w:sz="0" w:space="0" w:color="auto"/>
        <w:left w:val="none" w:sz="0" w:space="0" w:color="auto"/>
        <w:bottom w:val="none" w:sz="0" w:space="0" w:color="auto"/>
        <w:right w:val="none" w:sz="0" w:space="0" w:color="auto"/>
      </w:divBdr>
      <w:divsChild>
        <w:div w:id="1217938210">
          <w:marLeft w:val="0"/>
          <w:marRight w:val="0"/>
          <w:marTop w:val="0"/>
          <w:marBottom w:val="0"/>
          <w:divBdr>
            <w:top w:val="none" w:sz="0" w:space="0" w:color="auto"/>
            <w:left w:val="none" w:sz="0" w:space="0" w:color="auto"/>
            <w:bottom w:val="none" w:sz="0" w:space="0" w:color="auto"/>
            <w:right w:val="none" w:sz="0" w:space="0" w:color="auto"/>
          </w:divBdr>
        </w:div>
        <w:div w:id="1319262049">
          <w:marLeft w:val="0"/>
          <w:marRight w:val="0"/>
          <w:marTop w:val="0"/>
          <w:marBottom w:val="0"/>
          <w:divBdr>
            <w:top w:val="none" w:sz="0" w:space="0" w:color="auto"/>
            <w:left w:val="none" w:sz="0" w:space="0" w:color="auto"/>
            <w:bottom w:val="none" w:sz="0" w:space="0" w:color="auto"/>
            <w:right w:val="none" w:sz="0" w:space="0" w:color="auto"/>
          </w:divBdr>
        </w:div>
        <w:div w:id="1070075768">
          <w:marLeft w:val="0"/>
          <w:marRight w:val="0"/>
          <w:marTop w:val="0"/>
          <w:marBottom w:val="0"/>
          <w:divBdr>
            <w:top w:val="none" w:sz="0" w:space="0" w:color="auto"/>
            <w:left w:val="none" w:sz="0" w:space="0" w:color="auto"/>
            <w:bottom w:val="none" w:sz="0" w:space="0" w:color="auto"/>
            <w:right w:val="none" w:sz="0" w:space="0" w:color="auto"/>
          </w:divBdr>
        </w:div>
        <w:div w:id="1262832377">
          <w:marLeft w:val="0"/>
          <w:marRight w:val="0"/>
          <w:marTop w:val="0"/>
          <w:marBottom w:val="0"/>
          <w:divBdr>
            <w:top w:val="none" w:sz="0" w:space="0" w:color="auto"/>
            <w:left w:val="none" w:sz="0" w:space="0" w:color="auto"/>
            <w:bottom w:val="none" w:sz="0" w:space="0" w:color="auto"/>
            <w:right w:val="none" w:sz="0" w:space="0" w:color="auto"/>
          </w:divBdr>
        </w:div>
      </w:divsChild>
    </w:div>
    <w:div w:id="1301617320">
      <w:bodyDiv w:val="1"/>
      <w:marLeft w:val="0"/>
      <w:marRight w:val="0"/>
      <w:marTop w:val="0"/>
      <w:marBottom w:val="0"/>
      <w:divBdr>
        <w:top w:val="none" w:sz="0" w:space="0" w:color="auto"/>
        <w:left w:val="none" w:sz="0" w:space="0" w:color="auto"/>
        <w:bottom w:val="none" w:sz="0" w:space="0" w:color="auto"/>
        <w:right w:val="none" w:sz="0" w:space="0" w:color="auto"/>
      </w:divBdr>
      <w:divsChild>
        <w:div w:id="1766340007">
          <w:marLeft w:val="0"/>
          <w:marRight w:val="0"/>
          <w:marTop w:val="0"/>
          <w:marBottom w:val="0"/>
          <w:divBdr>
            <w:top w:val="none" w:sz="0" w:space="0" w:color="auto"/>
            <w:left w:val="none" w:sz="0" w:space="0" w:color="auto"/>
            <w:bottom w:val="none" w:sz="0" w:space="0" w:color="auto"/>
            <w:right w:val="none" w:sz="0" w:space="0" w:color="auto"/>
          </w:divBdr>
        </w:div>
        <w:div w:id="1914897837">
          <w:marLeft w:val="0"/>
          <w:marRight w:val="0"/>
          <w:marTop w:val="0"/>
          <w:marBottom w:val="0"/>
          <w:divBdr>
            <w:top w:val="none" w:sz="0" w:space="0" w:color="auto"/>
            <w:left w:val="none" w:sz="0" w:space="0" w:color="auto"/>
            <w:bottom w:val="none" w:sz="0" w:space="0" w:color="auto"/>
            <w:right w:val="none" w:sz="0" w:space="0" w:color="auto"/>
          </w:divBdr>
        </w:div>
        <w:div w:id="1440881054">
          <w:marLeft w:val="0"/>
          <w:marRight w:val="0"/>
          <w:marTop w:val="0"/>
          <w:marBottom w:val="0"/>
          <w:divBdr>
            <w:top w:val="none" w:sz="0" w:space="0" w:color="auto"/>
            <w:left w:val="none" w:sz="0" w:space="0" w:color="auto"/>
            <w:bottom w:val="none" w:sz="0" w:space="0" w:color="auto"/>
            <w:right w:val="none" w:sz="0" w:space="0" w:color="auto"/>
          </w:divBdr>
        </w:div>
        <w:div w:id="2145538609">
          <w:marLeft w:val="0"/>
          <w:marRight w:val="0"/>
          <w:marTop w:val="0"/>
          <w:marBottom w:val="0"/>
          <w:divBdr>
            <w:top w:val="none" w:sz="0" w:space="0" w:color="auto"/>
            <w:left w:val="none" w:sz="0" w:space="0" w:color="auto"/>
            <w:bottom w:val="none" w:sz="0" w:space="0" w:color="auto"/>
            <w:right w:val="none" w:sz="0" w:space="0" w:color="auto"/>
          </w:divBdr>
        </w:div>
      </w:divsChild>
    </w:div>
    <w:div w:id="1780680758">
      <w:bodyDiv w:val="1"/>
      <w:marLeft w:val="0"/>
      <w:marRight w:val="0"/>
      <w:marTop w:val="0"/>
      <w:marBottom w:val="0"/>
      <w:divBdr>
        <w:top w:val="none" w:sz="0" w:space="0" w:color="auto"/>
        <w:left w:val="none" w:sz="0" w:space="0" w:color="auto"/>
        <w:bottom w:val="none" w:sz="0" w:space="0" w:color="auto"/>
        <w:right w:val="none" w:sz="0" w:space="0" w:color="auto"/>
      </w:divBdr>
      <w:divsChild>
        <w:div w:id="2007241822">
          <w:marLeft w:val="0"/>
          <w:marRight w:val="0"/>
          <w:marTop w:val="0"/>
          <w:marBottom w:val="0"/>
          <w:divBdr>
            <w:top w:val="none" w:sz="0" w:space="0" w:color="auto"/>
            <w:left w:val="none" w:sz="0" w:space="0" w:color="auto"/>
            <w:bottom w:val="none" w:sz="0" w:space="0" w:color="auto"/>
            <w:right w:val="none" w:sz="0" w:space="0" w:color="auto"/>
          </w:divBdr>
        </w:div>
        <w:div w:id="1749689209">
          <w:marLeft w:val="0"/>
          <w:marRight w:val="0"/>
          <w:marTop w:val="0"/>
          <w:marBottom w:val="0"/>
          <w:divBdr>
            <w:top w:val="none" w:sz="0" w:space="0" w:color="auto"/>
            <w:left w:val="none" w:sz="0" w:space="0" w:color="auto"/>
            <w:bottom w:val="none" w:sz="0" w:space="0" w:color="auto"/>
            <w:right w:val="none" w:sz="0" w:space="0" w:color="auto"/>
          </w:divBdr>
        </w:div>
        <w:div w:id="2079671548">
          <w:marLeft w:val="0"/>
          <w:marRight w:val="0"/>
          <w:marTop w:val="0"/>
          <w:marBottom w:val="0"/>
          <w:divBdr>
            <w:top w:val="none" w:sz="0" w:space="0" w:color="auto"/>
            <w:left w:val="none" w:sz="0" w:space="0" w:color="auto"/>
            <w:bottom w:val="none" w:sz="0" w:space="0" w:color="auto"/>
            <w:right w:val="none" w:sz="0" w:space="0" w:color="auto"/>
          </w:divBdr>
        </w:div>
        <w:div w:id="3860264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Untitled document</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Courtney Judah</dc:creator>
  <cp:lastModifiedBy>Courtney Judah</cp:lastModifiedBy>
  <cp:revision>2</cp:revision>
  <dcterms:created xsi:type="dcterms:W3CDTF">2024-10-24T21:00:00Z</dcterms:created>
  <dcterms:modified xsi:type="dcterms:W3CDTF">2024-10-24T21:00:00Z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m131 Google Docs Renderer</vt:lpwstr>
  </property>
</Properties>
</file>